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B10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b w:val="0"/>
          <w:bCs w:val="0"/>
          <w:sz w:val="34"/>
          <w:szCs w:val="34"/>
        </w:rPr>
      </w:pPr>
      <w:r>
        <w:rPr>
          <w:rFonts w:hint="eastAsia" w:ascii="方正小标宋简体" w:hAnsi="方正小标宋简体" w:eastAsia="方正小标宋简体" w:cs="方正小标宋简体"/>
          <w:b w:val="0"/>
          <w:bCs w:val="0"/>
          <w:sz w:val="34"/>
          <w:szCs w:val="34"/>
        </w:rPr>
        <w:t>福州市东部新城商务办公中心区节能</w:t>
      </w:r>
      <w:r>
        <w:rPr>
          <w:rFonts w:hint="eastAsia" w:ascii="方正小标宋简体" w:hAnsi="方正小标宋简体" w:eastAsia="方正小标宋简体" w:cs="方正小标宋简体"/>
          <w:b w:val="0"/>
          <w:bCs w:val="0"/>
          <w:sz w:val="34"/>
          <w:szCs w:val="34"/>
          <w:lang w:val="en-US" w:eastAsia="zh-CN"/>
        </w:rPr>
        <w:t>改造</w:t>
      </w:r>
      <w:r>
        <w:rPr>
          <w:rFonts w:hint="eastAsia" w:ascii="方正小标宋简体" w:hAnsi="方正小标宋简体" w:eastAsia="方正小标宋简体" w:cs="方正小标宋简体"/>
          <w:b w:val="0"/>
          <w:bCs w:val="0"/>
          <w:sz w:val="34"/>
          <w:szCs w:val="34"/>
        </w:rPr>
        <w:t>项目</w:t>
      </w:r>
    </w:p>
    <w:p w14:paraId="5A86E6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b w:val="0"/>
          <w:bCs w:val="0"/>
          <w:sz w:val="34"/>
          <w:szCs w:val="34"/>
          <w:lang w:val="en-US" w:eastAsia="zh-CN"/>
        </w:rPr>
      </w:pPr>
      <w:r>
        <w:rPr>
          <w:rFonts w:hint="eastAsia" w:ascii="方正小标宋简体" w:hAnsi="方正小标宋简体" w:eastAsia="方正小标宋简体" w:cs="方正小标宋简体"/>
          <w:b w:val="0"/>
          <w:bCs w:val="0"/>
          <w:sz w:val="34"/>
          <w:szCs w:val="34"/>
          <w:lang w:val="en-US" w:eastAsia="zh-CN"/>
        </w:rPr>
        <w:t>服务</w:t>
      </w:r>
      <w:r>
        <w:rPr>
          <w:rFonts w:hint="eastAsia" w:ascii="方正小标宋简体" w:hAnsi="方正小标宋简体" w:eastAsia="方正小标宋简体" w:cs="方正小标宋简体"/>
          <w:b w:val="0"/>
          <w:bCs w:val="0"/>
          <w:sz w:val="34"/>
          <w:szCs w:val="34"/>
        </w:rPr>
        <w:t>考核细则</w:t>
      </w:r>
      <w:r>
        <w:rPr>
          <w:rFonts w:hint="eastAsia" w:ascii="方正小标宋简体" w:hAnsi="方正小标宋简体" w:eastAsia="方正小标宋简体" w:cs="方正小标宋简体"/>
          <w:b w:val="0"/>
          <w:bCs w:val="0"/>
          <w:sz w:val="34"/>
          <w:szCs w:val="34"/>
          <w:lang w:val="en-US" w:eastAsia="zh-CN"/>
        </w:rPr>
        <w:t>(暂行）</w:t>
      </w:r>
    </w:p>
    <w:p w14:paraId="7F880F0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lang w:val="en-US" w:eastAsia="zh-CN"/>
        </w:rPr>
      </w:pPr>
    </w:p>
    <w:p w14:paraId="3AF9F452">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一、总则</w:t>
      </w:r>
    </w:p>
    <w:p w14:paraId="772ECE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1.1 制定目的</w:t>
      </w:r>
      <w:r>
        <w:rPr>
          <w:rFonts w:hint="eastAsia" w:ascii="仿宋_GB2312" w:hAnsi="仿宋_GB2312" w:eastAsia="仿宋_GB2312" w:cs="仿宋_GB2312"/>
          <w:kern w:val="0"/>
          <w:sz w:val="28"/>
          <w:szCs w:val="28"/>
          <w:lang w:val="en-US" w:eastAsia="zh-CN" w:bidi="ar"/>
        </w:rPr>
        <w:t xml:space="preserve"> 为了降低福州东部办公区能耗，提高能源服务质量，对福州东部办公区实行了多项节能改造工作，为了实现节能改造既定目标，福州东部办公区业主、物业、在各自职责范围内配合节能服务公司完成各项能源管理工作，同时对能源服务公司前期节能改造质量，节能改造效果，后期运维服务质量进行监督考核。</w:t>
      </w:r>
    </w:p>
    <w:p w14:paraId="7FABFC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1.2 适用范围</w:t>
      </w:r>
      <w:r>
        <w:rPr>
          <w:rFonts w:hint="eastAsia" w:ascii="仿宋_GB2312" w:hAnsi="仿宋_GB2312" w:eastAsia="仿宋_GB2312" w:cs="仿宋_GB2312"/>
          <w:kern w:val="0"/>
          <w:sz w:val="28"/>
          <w:szCs w:val="28"/>
          <w:lang w:val="en-US" w:eastAsia="zh-CN" w:bidi="ar"/>
        </w:rPr>
        <w:t xml:space="preserve"> 本细则适用于政府公共机构与节能服务公司签订的节能保证型合同能源管理项目的考核。每年度实际节电量为运营基准电量与每年度实际用电之差；实际节电费用为实际节电量与电费单价之乘积。除电能以外，其余能源暂不列入节能率计算范畴。</w:t>
      </w:r>
    </w:p>
    <w:p w14:paraId="0148F7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1.3 考核依据</w:t>
      </w:r>
      <w:r>
        <w:rPr>
          <w:rFonts w:hint="eastAsia" w:ascii="仿宋_GB2312" w:hAnsi="仿宋_GB2312" w:eastAsia="仿宋_GB2312" w:cs="仿宋_GB2312"/>
          <w:kern w:val="0"/>
          <w:sz w:val="28"/>
          <w:szCs w:val="28"/>
          <w:lang w:val="en-US" w:eastAsia="zh-CN" w:bidi="ar"/>
        </w:rPr>
        <w:t xml:space="preserve"> 本考核细则依据《中华人民共和国节约能源法》《合同能源管理技术通则》《建筑合同能源管理节能效果评价标准》（GB/T 51285-2018）等相关法律法规和标准规范制定。</w:t>
      </w:r>
    </w:p>
    <w:p w14:paraId="5F4316F5">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二、工程质量验收</w:t>
      </w:r>
      <w:bookmarkStart w:id="1" w:name="_GoBack"/>
      <w:bookmarkEnd w:id="1"/>
    </w:p>
    <w:p w14:paraId="272F3B2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kern w:val="0"/>
          <w:sz w:val="28"/>
          <w:szCs w:val="28"/>
          <w:lang w:val="en-US" w:eastAsia="zh-CN" w:bidi="ar"/>
        </w:rPr>
        <w:t>节能服务公司</w:t>
      </w:r>
      <w:r>
        <w:rPr>
          <w:rFonts w:hint="eastAsia" w:ascii="仿宋_GB2312" w:hAnsi="仿宋_GB2312" w:eastAsia="仿宋_GB2312" w:cs="仿宋_GB2312"/>
          <w:b w:val="0"/>
          <w:bCs w:val="0"/>
          <w:kern w:val="0"/>
          <w:sz w:val="28"/>
          <w:szCs w:val="28"/>
          <w:lang w:val="en-US" w:eastAsia="zh-CN" w:bidi="ar"/>
        </w:rPr>
        <w:t>设备安装调试完毕，由市机关局、市住建局进行验收，考核项目材料、设备采购、改造施工、安装调试等。验收报告内容至少应当包括设备质量是否合格、安装工艺是否符合设计标准、运行状况是否正常、</w:t>
      </w:r>
      <w:r>
        <w:rPr>
          <w:rFonts w:hint="eastAsia" w:ascii="仿宋_GB2312" w:hAnsi="仿宋_GB2312" w:eastAsia="仿宋_GB2312" w:cs="仿宋_GB2312"/>
          <w:kern w:val="0"/>
          <w:sz w:val="28"/>
          <w:szCs w:val="28"/>
          <w:lang w:val="en-US" w:eastAsia="zh-CN" w:bidi="ar"/>
        </w:rPr>
        <w:t>节能服务公司</w:t>
      </w:r>
      <w:r>
        <w:rPr>
          <w:rFonts w:hint="eastAsia" w:ascii="仿宋_GB2312" w:hAnsi="仿宋_GB2312" w:eastAsia="仿宋_GB2312" w:cs="仿宋_GB2312"/>
          <w:b w:val="0"/>
          <w:bCs w:val="0"/>
          <w:kern w:val="0"/>
          <w:sz w:val="28"/>
          <w:szCs w:val="28"/>
          <w:lang w:val="en-US" w:eastAsia="zh-CN" w:bidi="ar"/>
        </w:rPr>
        <w:t>提供的设备和服务是否符合合同约定。</w:t>
      </w:r>
    </w:p>
    <w:p w14:paraId="783F86DA">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工程质量必须达到合格及以上标准，各项改造内容验收结果以竣工资料内验收报告为准。工程质量重点按照《节能改造方案》，且须符合国标、地方标准的相关要求，主要应包含以下方面：</w:t>
      </w:r>
    </w:p>
    <w:p w14:paraId="3FF648C0">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《通风与空调工程施工质量验收规范》（GB50243-2002）</w:t>
      </w:r>
    </w:p>
    <w:p w14:paraId="472D7358">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《建筑电气安装工程施工质量验收规范》（GB50303-2002）</w:t>
      </w:r>
    </w:p>
    <w:p w14:paraId="71E7006A">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《建筑给水排水及采暖工程施工质量验收规范》（GB50242-2002）</w:t>
      </w:r>
    </w:p>
    <w:p w14:paraId="5A1CC72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《建筑照明设计标准》（GB/T50034-2024）</w:t>
      </w:r>
    </w:p>
    <w:p w14:paraId="7EFA0D0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《光伏发电工程验收规范》（GB/T50796-2012）</w:t>
      </w:r>
    </w:p>
    <w:p w14:paraId="49C49A05">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rPr>
        <w:t>、考核内容</w:t>
      </w:r>
    </w:p>
    <w:tbl>
      <w:tblPr>
        <w:tblStyle w:val="6"/>
        <w:tblW w:w="8960" w:type="dxa"/>
        <w:jc w:val="center"/>
        <w:tblLayout w:type="fixed"/>
        <w:tblCellMar>
          <w:top w:w="0" w:type="dxa"/>
          <w:left w:w="108" w:type="dxa"/>
          <w:bottom w:w="0" w:type="dxa"/>
          <w:right w:w="108" w:type="dxa"/>
        </w:tblCellMar>
      </w:tblPr>
      <w:tblGrid>
        <w:gridCol w:w="1369"/>
        <w:gridCol w:w="1229"/>
        <w:gridCol w:w="861"/>
        <w:gridCol w:w="4639"/>
        <w:gridCol w:w="862"/>
      </w:tblGrid>
      <w:tr w14:paraId="42BEAB6C">
        <w:tblPrEx>
          <w:tblCellMar>
            <w:top w:w="0" w:type="dxa"/>
            <w:left w:w="108" w:type="dxa"/>
            <w:bottom w:w="0" w:type="dxa"/>
            <w:right w:w="108" w:type="dxa"/>
          </w:tblCellMar>
        </w:tblPrEx>
        <w:trPr>
          <w:trHeight w:val="567" w:hRule="atLeast"/>
          <w:tblHeader/>
          <w:jc w:val="center"/>
        </w:trPr>
        <w:tc>
          <w:tcPr>
            <w:tcW w:w="1351" w:type="dxa"/>
            <w:tcBorders>
              <w:top w:val="single" w:color="000000" w:sz="4" w:space="0"/>
              <w:left w:val="single" w:color="000000" w:sz="4" w:space="0"/>
              <w:bottom w:val="single" w:color="000000" w:sz="4" w:space="0"/>
              <w:right w:val="single" w:color="000000" w:sz="4" w:space="0"/>
            </w:tcBorders>
            <w:noWrap/>
            <w:vAlign w:val="center"/>
          </w:tcPr>
          <w:p w14:paraId="4E81DD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黑体" w:hAnsi="黑体" w:eastAsia="黑体" w:cs="黑体"/>
                <w:b w:val="0"/>
                <w:bCs w:val="0"/>
                <w:color w:val="auto"/>
                <w:sz w:val="24"/>
                <w:szCs w:val="32"/>
              </w:rPr>
            </w:pPr>
            <w:r>
              <w:rPr>
                <w:rFonts w:hint="eastAsia" w:ascii="黑体" w:hAnsi="黑体" w:eastAsia="黑体" w:cs="黑体"/>
                <w:b w:val="0"/>
                <w:bCs w:val="0"/>
                <w:color w:val="auto"/>
                <w:sz w:val="24"/>
                <w:szCs w:val="32"/>
              </w:rPr>
              <w:t>考核类型</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6DF2ABA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黑体" w:hAnsi="黑体" w:eastAsia="黑体" w:cs="黑体"/>
                <w:b w:val="0"/>
                <w:bCs w:val="0"/>
                <w:color w:val="auto"/>
                <w:sz w:val="24"/>
                <w:szCs w:val="32"/>
              </w:rPr>
            </w:pPr>
            <w:r>
              <w:rPr>
                <w:rFonts w:hint="eastAsia" w:ascii="黑体" w:hAnsi="黑体" w:eastAsia="黑体" w:cs="黑体"/>
                <w:b w:val="0"/>
                <w:bCs w:val="0"/>
                <w:color w:val="auto"/>
                <w:sz w:val="24"/>
                <w:szCs w:val="32"/>
              </w:rPr>
              <w:t>考核指标</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3A3BC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黑体" w:hAnsi="黑体" w:eastAsia="黑体" w:cs="黑体"/>
                <w:b w:val="0"/>
                <w:bCs w:val="0"/>
                <w:color w:val="auto"/>
                <w:sz w:val="24"/>
                <w:szCs w:val="32"/>
              </w:rPr>
            </w:pPr>
            <w:r>
              <w:rPr>
                <w:rFonts w:hint="eastAsia" w:ascii="黑体" w:hAnsi="黑体" w:eastAsia="黑体" w:cs="黑体"/>
                <w:b w:val="0"/>
                <w:bCs w:val="0"/>
                <w:color w:val="auto"/>
                <w:sz w:val="24"/>
                <w:szCs w:val="32"/>
              </w:rPr>
              <w:t>分值</w:t>
            </w:r>
          </w:p>
        </w:tc>
        <w:tc>
          <w:tcPr>
            <w:tcW w:w="4578" w:type="dxa"/>
            <w:tcBorders>
              <w:top w:val="single" w:color="000000" w:sz="4" w:space="0"/>
              <w:left w:val="single" w:color="000000" w:sz="4" w:space="0"/>
              <w:bottom w:val="single" w:color="000000" w:sz="4" w:space="0"/>
              <w:right w:val="single" w:color="000000" w:sz="4" w:space="0"/>
            </w:tcBorders>
            <w:noWrap/>
            <w:vAlign w:val="center"/>
          </w:tcPr>
          <w:p w14:paraId="1E9E26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黑体" w:hAnsi="黑体" w:eastAsia="黑体" w:cs="黑体"/>
                <w:b w:val="0"/>
                <w:bCs w:val="0"/>
                <w:color w:val="auto"/>
                <w:sz w:val="24"/>
                <w:szCs w:val="32"/>
              </w:rPr>
            </w:pPr>
            <w:r>
              <w:rPr>
                <w:rFonts w:hint="eastAsia" w:ascii="黑体" w:hAnsi="黑体" w:eastAsia="黑体" w:cs="黑体"/>
                <w:b w:val="0"/>
                <w:bCs w:val="0"/>
                <w:color w:val="auto"/>
                <w:sz w:val="24"/>
                <w:szCs w:val="32"/>
              </w:rPr>
              <w:t>评分标准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178BC3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黑体" w:hAnsi="黑体" w:eastAsia="黑体" w:cs="黑体"/>
                <w:b w:val="0"/>
                <w:bCs w:val="0"/>
                <w:color w:val="auto"/>
                <w:sz w:val="24"/>
                <w:szCs w:val="32"/>
              </w:rPr>
            </w:pPr>
            <w:r>
              <w:rPr>
                <w:rFonts w:hint="eastAsia" w:ascii="黑体" w:hAnsi="黑体" w:eastAsia="黑体" w:cs="黑体"/>
                <w:b w:val="0"/>
                <w:bCs w:val="0"/>
                <w:color w:val="auto"/>
                <w:sz w:val="24"/>
                <w:szCs w:val="32"/>
              </w:rPr>
              <w:t>得分</w:t>
            </w:r>
          </w:p>
        </w:tc>
      </w:tr>
      <w:tr w14:paraId="21A99948">
        <w:tblPrEx>
          <w:tblCellMar>
            <w:top w:w="0" w:type="dxa"/>
            <w:left w:w="108" w:type="dxa"/>
            <w:bottom w:w="0" w:type="dxa"/>
            <w:right w:w="108" w:type="dxa"/>
          </w:tblCellMar>
        </w:tblPrEx>
        <w:trPr>
          <w:trHeight w:val="0" w:hRule="atLeast"/>
          <w:jc w:val="center"/>
        </w:trPr>
        <w:tc>
          <w:tcPr>
            <w:tcW w:w="1351" w:type="dxa"/>
            <w:vMerge w:val="restart"/>
            <w:tcBorders>
              <w:top w:val="single" w:color="000000" w:sz="4" w:space="0"/>
              <w:left w:val="single" w:color="000000" w:sz="4" w:space="0"/>
              <w:bottom w:val="single" w:color="000000" w:sz="4" w:space="0"/>
              <w:right w:val="single" w:color="000000" w:sz="4" w:space="0"/>
            </w:tcBorders>
            <w:noWrap/>
            <w:vAlign w:val="center"/>
          </w:tcPr>
          <w:p w14:paraId="327F64A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Style w:val="8"/>
                <w:rFonts w:hint="eastAsia" w:ascii="仿宋_GB2312" w:hAnsi="仿宋_GB2312" w:eastAsia="仿宋_GB2312" w:cs="仿宋_GB2312"/>
                <w:kern w:val="0"/>
                <w:sz w:val="24"/>
                <w:szCs w:val="24"/>
                <w:lang w:val="en-US" w:eastAsia="zh-CN" w:bidi="ar"/>
              </w:rPr>
              <w:t>设备质量</w:t>
            </w:r>
          </w:p>
        </w:tc>
        <w:tc>
          <w:tcPr>
            <w:tcW w:w="1213" w:type="dxa"/>
            <w:tcBorders>
              <w:top w:val="single" w:color="000000" w:sz="4" w:space="0"/>
              <w:left w:val="single" w:color="000000" w:sz="4" w:space="0"/>
              <w:bottom w:val="single" w:color="000000" w:sz="4" w:space="0"/>
              <w:right w:val="single" w:color="000000" w:sz="4" w:space="0"/>
            </w:tcBorders>
            <w:vAlign w:val="center"/>
          </w:tcPr>
          <w:p w14:paraId="4B8209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平台系统维护</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BFDE0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14:paraId="70C1D1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对整个平台系统的软硬件设备进行维护，确保平台系统数据准确性。做好维护记录并于每年度结束后的3个工作日内移交招标人签字确认，未按时移交的扣3分。因系统未维护产生故障1天内未解决扣5分。缺少维护记录扣5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6C2D7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61C35679">
        <w:tblPrEx>
          <w:tblCellMar>
            <w:top w:w="0" w:type="dxa"/>
            <w:left w:w="108" w:type="dxa"/>
            <w:bottom w:w="0" w:type="dxa"/>
            <w:right w:w="108" w:type="dxa"/>
          </w:tblCellMar>
        </w:tblPrEx>
        <w:trPr>
          <w:trHeight w:val="0" w:hRule="atLeast"/>
          <w:jc w:val="center"/>
        </w:trPr>
        <w:tc>
          <w:tcPr>
            <w:tcW w:w="1351" w:type="dxa"/>
            <w:vMerge w:val="continue"/>
            <w:tcBorders>
              <w:top w:val="single" w:color="000000" w:sz="4" w:space="0"/>
              <w:left w:val="single" w:color="000000" w:sz="4" w:space="0"/>
              <w:bottom w:val="single" w:color="000000" w:sz="4" w:space="0"/>
              <w:right w:val="single" w:color="000000" w:sz="4" w:space="0"/>
            </w:tcBorders>
            <w:noWrap/>
            <w:vAlign w:val="center"/>
          </w:tcPr>
          <w:p w14:paraId="1DB04E6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9FF4D0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空调节能运行管理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0504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14:paraId="388866E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rPr>
            </w:pPr>
            <w:r>
              <w:rPr>
                <w:rFonts w:hint="eastAsia" w:ascii="仿宋_GB2312" w:hAnsi="仿宋_GB2312" w:eastAsia="仿宋_GB2312" w:cs="仿宋_GB2312"/>
                <w:b w:val="0"/>
                <w:bCs w:val="0"/>
                <w:color w:val="auto"/>
                <w:sz w:val="24"/>
                <w:szCs w:val="32"/>
              </w:rPr>
              <w:t>检查空调设备的品牌、型号是否符合合同约定，设备运行是否稳定，制冷/制热效果是否达到标准，能耗指标是否在规定范围内。查看设备的维护保养记录，确保设备得到及时有效的维护</w:t>
            </w:r>
            <w:r>
              <w:rPr>
                <w:rFonts w:hint="eastAsia" w:ascii="仿宋_GB2312" w:hAnsi="仿宋_GB2312" w:eastAsia="仿宋_GB2312" w:cs="仿宋_GB2312"/>
                <w:b w:val="0"/>
                <w:bCs w:val="0"/>
                <w:color w:val="auto"/>
                <w:sz w:val="24"/>
                <w:szCs w:val="32"/>
                <w:lang w:eastAsia="zh-CN"/>
              </w:rPr>
              <w:t>，</w:t>
            </w:r>
            <w:r>
              <w:rPr>
                <w:rFonts w:hint="eastAsia" w:ascii="仿宋_GB2312" w:hAnsi="仿宋_GB2312" w:eastAsia="仿宋_GB2312" w:cs="仿宋_GB2312"/>
                <w:b w:val="0"/>
                <w:bCs w:val="0"/>
                <w:color w:val="auto"/>
                <w:sz w:val="24"/>
                <w:szCs w:val="32"/>
              </w:rPr>
              <w:t>必须保障正常办公温度适宜</w:t>
            </w:r>
            <w:r>
              <w:rPr>
                <w:rFonts w:hint="eastAsia" w:ascii="仿宋_GB2312" w:hAnsi="仿宋_GB2312" w:eastAsia="仿宋_GB2312" w:cs="仿宋_GB2312"/>
                <w:b w:val="0"/>
                <w:bCs w:val="0"/>
                <w:color w:val="auto"/>
                <w:sz w:val="24"/>
                <w:szCs w:val="32"/>
                <w:lang w:eastAsia="zh-CN"/>
              </w:rPr>
              <w:t>。</w:t>
            </w:r>
            <w:r>
              <w:rPr>
                <w:rFonts w:hint="eastAsia" w:ascii="仿宋_GB2312" w:hAnsi="仿宋_GB2312" w:eastAsia="仿宋_GB2312" w:cs="仿宋_GB2312"/>
                <w:b w:val="0"/>
                <w:bCs w:val="0"/>
                <w:color w:val="auto"/>
                <w:sz w:val="24"/>
                <w:szCs w:val="32"/>
                <w:lang w:val="en-US" w:eastAsia="zh-CN"/>
              </w:rPr>
              <w:t>发现不符合项，扣1分。被投诉且情况属实，扣2分。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26372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0F6018A1">
        <w:tblPrEx>
          <w:tblCellMar>
            <w:top w:w="0" w:type="dxa"/>
            <w:left w:w="108" w:type="dxa"/>
            <w:bottom w:w="0" w:type="dxa"/>
            <w:right w:w="108" w:type="dxa"/>
          </w:tblCellMar>
        </w:tblPrEx>
        <w:trPr>
          <w:trHeight w:val="0" w:hRule="atLeast"/>
          <w:jc w:val="center"/>
        </w:trPr>
        <w:tc>
          <w:tcPr>
            <w:tcW w:w="1351" w:type="dxa"/>
            <w:vMerge w:val="continue"/>
            <w:tcBorders>
              <w:top w:val="single" w:color="000000" w:sz="4" w:space="0"/>
              <w:left w:val="single" w:color="000000" w:sz="4" w:space="0"/>
              <w:bottom w:val="single" w:color="000000" w:sz="4" w:space="0"/>
              <w:right w:val="single" w:color="000000" w:sz="4" w:space="0"/>
            </w:tcBorders>
            <w:noWrap/>
            <w:vAlign w:val="center"/>
          </w:tcPr>
          <w:p w14:paraId="7190C25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B8D78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lang w:val="en-US" w:eastAsia="zh-CN"/>
              </w:rPr>
              <w:t>照明设备</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14626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14:paraId="734764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考察照明设备的亮度、色温是否符合要求，灯具的质量是否可靠，使用寿命是否达到预期。检查照明系统的节能效果，如是否采用节能灯具和智能控制方式。发现不符合项，扣1分。被投诉且情况属实，扣2分。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51D7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75D15E67">
        <w:tblPrEx>
          <w:tblCellMar>
            <w:top w:w="0" w:type="dxa"/>
            <w:left w:w="108" w:type="dxa"/>
            <w:bottom w:w="0" w:type="dxa"/>
            <w:right w:w="108" w:type="dxa"/>
          </w:tblCellMar>
        </w:tblPrEx>
        <w:trPr>
          <w:trHeight w:val="0" w:hRule="atLeast"/>
          <w:jc w:val="center"/>
        </w:trPr>
        <w:tc>
          <w:tcPr>
            <w:tcW w:w="1351" w:type="dxa"/>
            <w:vMerge w:val="continue"/>
            <w:tcBorders>
              <w:top w:val="single" w:color="000000" w:sz="4" w:space="0"/>
              <w:left w:val="single" w:color="000000" w:sz="4" w:space="0"/>
              <w:bottom w:val="single" w:color="000000" w:sz="4" w:space="0"/>
              <w:right w:val="single" w:color="000000" w:sz="4" w:space="0"/>
            </w:tcBorders>
            <w:noWrap/>
            <w:vAlign w:val="center"/>
          </w:tcPr>
          <w:p w14:paraId="3CABF5D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C0D1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光伏设备</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1FE7B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14:paraId="64E28FF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评估光伏设备的转换效率、输出功率是否达到设计要求，设备的质量和性能是否稳定。检查光伏系统的安装和运行情况，包括电池板的清洁度、支架的牢固性等。发现不符合项，相应扣分。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7479D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566FCA12">
        <w:tblPrEx>
          <w:tblCellMar>
            <w:top w:w="0" w:type="dxa"/>
            <w:left w:w="108" w:type="dxa"/>
            <w:bottom w:w="0" w:type="dxa"/>
            <w:right w:w="108" w:type="dxa"/>
          </w:tblCellMar>
        </w:tblPrEx>
        <w:trPr>
          <w:trHeight w:val="0" w:hRule="atLeast"/>
          <w:jc w:val="center"/>
        </w:trPr>
        <w:tc>
          <w:tcPr>
            <w:tcW w:w="1351" w:type="dxa"/>
            <w:vMerge w:val="continue"/>
            <w:tcBorders>
              <w:top w:val="single" w:color="000000" w:sz="4" w:space="0"/>
              <w:left w:val="single" w:color="000000" w:sz="4" w:space="0"/>
              <w:bottom w:val="single" w:color="000000" w:sz="4" w:space="0"/>
              <w:right w:val="single" w:color="000000" w:sz="4" w:space="0"/>
            </w:tcBorders>
            <w:noWrap/>
            <w:vAlign w:val="center"/>
          </w:tcPr>
          <w:p w14:paraId="7A97EBD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698C1E5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设备运行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C412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000000" w:sz="4" w:space="0"/>
              <w:left w:val="single" w:color="000000" w:sz="4" w:space="0"/>
              <w:bottom w:val="single" w:color="000000" w:sz="4" w:space="0"/>
              <w:right w:val="single" w:color="000000" w:sz="4" w:space="0"/>
            </w:tcBorders>
            <w:vAlign w:val="center"/>
          </w:tcPr>
          <w:p w14:paraId="7DB1847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项目服务期间，确保已投入使用硬件设施正常运行。1年度内，发现一次设备故障1天内解决的不扣分，超过1天无法解决的扣5分。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B3E86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67758341">
        <w:tblPrEx>
          <w:tblCellMar>
            <w:top w:w="0" w:type="dxa"/>
            <w:left w:w="108" w:type="dxa"/>
            <w:bottom w:w="0" w:type="dxa"/>
            <w:right w:w="108" w:type="dxa"/>
          </w:tblCellMar>
        </w:tblPrEx>
        <w:trPr>
          <w:trHeight w:val="0" w:hRule="atLeast"/>
          <w:jc w:val="center"/>
        </w:trPr>
        <w:tc>
          <w:tcPr>
            <w:tcW w:w="1351" w:type="dxa"/>
            <w:vMerge w:val="restart"/>
            <w:tcBorders>
              <w:top w:val="single" w:color="000000" w:sz="4" w:space="0"/>
              <w:left w:val="single" w:color="000000" w:sz="4" w:space="0"/>
              <w:right w:val="single" w:color="000000" w:sz="4" w:space="0"/>
            </w:tcBorders>
            <w:noWrap/>
            <w:vAlign w:val="center"/>
          </w:tcPr>
          <w:p w14:paraId="0ADCBD7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Style w:val="8"/>
                <w:rFonts w:hint="eastAsia" w:ascii="仿宋_GB2312" w:hAnsi="仿宋_GB2312" w:eastAsia="仿宋_GB2312" w:cs="仿宋_GB2312"/>
                <w:kern w:val="0"/>
                <w:sz w:val="24"/>
                <w:szCs w:val="24"/>
                <w:lang w:val="en-US" w:eastAsia="zh-CN" w:bidi="ar"/>
              </w:rPr>
              <w:t>节能效益</w:t>
            </w:r>
          </w:p>
        </w:tc>
        <w:tc>
          <w:tcPr>
            <w:tcW w:w="1213" w:type="dxa"/>
            <w:tcBorders>
              <w:top w:val="single" w:color="000000" w:sz="4" w:space="0"/>
              <w:left w:val="single" w:color="000000" w:sz="4" w:space="0"/>
              <w:bottom w:val="single" w:color="000000" w:sz="4" w:space="0"/>
              <w:right w:val="single" w:color="000000" w:sz="4" w:space="0"/>
            </w:tcBorders>
            <w:vAlign w:val="center"/>
          </w:tcPr>
          <w:p w14:paraId="61A8E97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lang w:val="en-US" w:eastAsia="zh-CN"/>
              </w:rPr>
              <w:t>节能量计算</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AE32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10</w:t>
            </w:r>
          </w:p>
        </w:tc>
        <w:tc>
          <w:tcPr>
            <w:tcW w:w="4578" w:type="dxa"/>
            <w:tcBorders>
              <w:top w:val="single" w:color="000000" w:sz="4" w:space="0"/>
              <w:left w:val="single" w:color="000000" w:sz="4" w:space="0"/>
              <w:bottom w:val="single" w:color="000000" w:sz="4" w:space="0"/>
              <w:right w:val="single" w:color="000000" w:sz="4" w:space="0"/>
            </w:tcBorders>
            <w:vAlign w:val="center"/>
          </w:tcPr>
          <w:p w14:paraId="564DA7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rPr>
              <w:t>中期或周期验证：本合同履行期限满 3 个月的，根据项目运行情况可以进行一次中期节能量验证；超过年的可以确定验证周期。验证方法应与项目验收中使用的测量方法一致。</w:t>
            </w:r>
            <w:r>
              <w:rPr>
                <w:rFonts w:hint="eastAsia" w:ascii="仿宋_GB2312" w:hAnsi="仿宋_GB2312" w:eastAsia="仿宋_GB2312" w:cs="仿宋_GB2312"/>
                <w:b w:val="0"/>
                <w:bCs w:val="0"/>
                <w:color w:val="auto"/>
                <w:sz w:val="24"/>
                <w:szCs w:val="32"/>
                <w:lang w:val="en-US" w:eastAsia="zh-CN"/>
              </w:rPr>
              <w:t>不满足，扣10分。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D4B8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3B1392A3">
        <w:tblPrEx>
          <w:tblCellMar>
            <w:top w:w="0" w:type="dxa"/>
            <w:left w:w="108" w:type="dxa"/>
            <w:bottom w:w="0" w:type="dxa"/>
            <w:right w:w="108" w:type="dxa"/>
          </w:tblCellMar>
        </w:tblPrEx>
        <w:trPr>
          <w:trHeight w:val="0" w:hRule="atLeast"/>
          <w:jc w:val="center"/>
        </w:trPr>
        <w:tc>
          <w:tcPr>
            <w:tcW w:w="1351" w:type="dxa"/>
            <w:vMerge w:val="continue"/>
            <w:tcBorders>
              <w:left w:val="single" w:color="000000" w:sz="4" w:space="0"/>
              <w:bottom w:val="single" w:color="auto" w:sz="4" w:space="0"/>
              <w:right w:val="single" w:color="000000" w:sz="4" w:space="0"/>
            </w:tcBorders>
            <w:noWrap/>
            <w:vAlign w:val="center"/>
          </w:tcPr>
          <w:p w14:paraId="52FA54F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000000" w:sz="4" w:space="0"/>
              <w:left w:val="single" w:color="000000" w:sz="4" w:space="0"/>
              <w:bottom w:val="single" w:color="auto" w:sz="4" w:space="0"/>
              <w:right w:val="single" w:color="000000" w:sz="4" w:space="0"/>
            </w:tcBorders>
            <w:vAlign w:val="center"/>
          </w:tcPr>
          <w:p w14:paraId="74CD0E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节能效果评估</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03E6A0F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10</w:t>
            </w:r>
          </w:p>
        </w:tc>
        <w:tc>
          <w:tcPr>
            <w:tcW w:w="4578" w:type="dxa"/>
            <w:tcBorders>
              <w:top w:val="single" w:color="000000" w:sz="4" w:space="0"/>
              <w:left w:val="single" w:color="000000" w:sz="4" w:space="0"/>
              <w:bottom w:val="single" w:color="auto" w:sz="4" w:space="0"/>
              <w:right w:val="single" w:color="000000" w:sz="4" w:space="0"/>
            </w:tcBorders>
            <w:vAlign w:val="center"/>
          </w:tcPr>
          <w:p w14:paraId="1D934D6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rPr>
              <w:t>对项目的节能效果进行全面评估，包括能源利用效率的提高、能源成本的降低等方面</w:t>
            </w:r>
            <w:r>
              <w:rPr>
                <w:rFonts w:hint="eastAsia" w:ascii="仿宋_GB2312" w:hAnsi="仿宋_GB2312" w:eastAsia="仿宋_GB2312" w:cs="仿宋_GB2312"/>
                <w:b w:val="0"/>
                <w:bCs w:val="0"/>
                <w:color w:val="auto"/>
                <w:sz w:val="24"/>
                <w:szCs w:val="32"/>
                <w:lang w:val="en-US" w:eastAsia="zh-CN"/>
              </w:rPr>
              <w:t>及采取的各项措施是否对日常办公造成不利影响，每出现1例，扣5分。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1BECA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3F756D52">
        <w:tblPrEx>
          <w:tblCellMar>
            <w:top w:w="0" w:type="dxa"/>
            <w:left w:w="108" w:type="dxa"/>
            <w:bottom w:w="0" w:type="dxa"/>
            <w:right w:w="108" w:type="dxa"/>
          </w:tblCellMar>
        </w:tblPrEx>
        <w:trPr>
          <w:trHeight w:val="0" w:hRule="atLeast"/>
          <w:jc w:val="center"/>
        </w:trPr>
        <w:tc>
          <w:tcPr>
            <w:tcW w:w="1351" w:type="dxa"/>
            <w:vMerge w:val="restart"/>
            <w:tcBorders>
              <w:top w:val="single" w:color="auto" w:sz="4" w:space="0"/>
              <w:left w:val="single" w:color="auto" w:sz="4" w:space="0"/>
              <w:bottom w:val="single" w:color="auto" w:sz="4" w:space="0"/>
              <w:right w:val="single" w:color="auto" w:sz="4" w:space="0"/>
            </w:tcBorders>
            <w:noWrap/>
            <w:vAlign w:val="center"/>
          </w:tcPr>
          <w:p w14:paraId="0A2C87F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r>
              <w:rPr>
                <w:rStyle w:val="8"/>
                <w:rFonts w:hint="eastAsia" w:ascii="仿宋_GB2312" w:hAnsi="仿宋_GB2312" w:eastAsia="仿宋_GB2312" w:cs="仿宋_GB2312"/>
                <w:kern w:val="0"/>
                <w:sz w:val="24"/>
                <w:szCs w:val="24"/>
                <w:lang w:val="en-US" w:eastAsia="zh-CN" w:bidi="ar"/>
              </w:rPr>
              <w:t>安全环保</w:t>
            </w:r>
          </w:p>
        </w:tc>
        <w:tc>
          <w:tcPr>
            <w:tcW w:w="1213" w:type="dxa"/>
            <w:tcBorders>
              <w:top w:val="single" w:color="auto" w:sz="4" w:space="0"/>
              <w:left w:val="single" w:color="auto" w:sz="4" w:space="0"/>
              <w:bottom w:val="single" w:color="auto" w:sz="4" w:space="0"/>
              <w:right w:val="single" w:color="auto" w:sz="4" w:space="0"/>
            </w:tcBorders>
            <w:vAlign w:val="center"/>
          </w:tcPr>
          <w:p w14:paraId="3E54D0D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安全</w:t>
            </w:r>
          </w:p>
        </w:tc>
        <w:tc>
          <w:tcPr>
            <w:tcW w:w="850" w:type="dxa"/>
            <w:tcBorders>
              <w:top w:val="single" w:color="auto" w:sz="4" w:space="0"/>
              <w:left w:val="single" w:color="auto" w:sz="4" w:space="0"/>
              <w:bottom w:val="single" w:color="auto" w:sz="4" w:space="0"/>
              <w:right w:val="single" w:color="auto" w:sz="4" w:space="0"/>
            </w:tcBorders>
            <w:noWrap/>
            <w:vAlign w:val="center"/>
          </w:tcPr>
          <w:p w14:paraId="0D2F97E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4C1942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每日对电力、空调、照明、光伏等能源系统关键部位进行巡视，发现安全隐患及时上报并排查。定期检查冷冻主机、水泵、阀门等设备是否存在异响、漏水等情况，发现异常及时记录上报。定期校验压力、温度、流量、电表、水表等表计，发现异常及时记录上报。发现违规作业情况及时予以制止并上报，对于不服从安全管理的人员进行必要的处罚。每日填写安全检查记录表，并存档备查。定期进行安全教育，形成安全培训记录。</w:t>
            </w:r>
            <w:r>
              <w:rPr>
                <w:rFonts w:hint="eastAsia" w:ascii="仿宋_GB2312" w:hAnsi="仿宋_GB2312" w:eastAsia="仿宋_GB2312" w:cs="仿宋_GB2312"/>
                <w:b w:val="0"/>
                <w:bCs w:val="0"/>
                <w:color w:val="auto"/>
                <w:sz w:val="24"/>
                <w:szCs w:val="32"/>
                <w:lang w:val="en-US" w:eastAsia="zh-CN"/>
              </w:rPr>
              <w:t>发现一次不符合项，扣1分。</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1FF87C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5176311E">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299AC3D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2DC3B27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环保</w:t>
            </w:r>
          </w:p>
        </w:tc>
        <w:tc>
          <w:tcPr>
            <w:tcW w:w="850" w:type="dxa"/>
            <w:tcBorders>
              <w:top w:val="single" w:color="auto" w:sz="4" w:space="0"/>
              <w:left w:val="single" w:color="auto" w:sz="4" w:space="0"/>
              <w:bottom w:val="single" w:color="auto" w:sz="4" w:space="0"/>
              <w:right w:val="single" w:color="auto" w:sz="4" w:space="0"/>
            </w:tcBorders>
            <w:noWrap/>
            <w:vAlign w:val="center"/>
          </w:tcPr>
          <w:p w14:paraId="6BF797B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44AA1BF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定期巡视能源系统运行情况，发现漏液、漏气异常情况及时上报并处理。对江水源取水口进行定期巡视，发现水质异常情况及时上报。</w:t>
            </w:r>
            <w:r>
              <w:rPr>
                <w:rFonts w:hint="eastAsia" w:ascii="仿宋_GB2312" w:hAnsi="仿宋_GB2312" w:eastAsia="仿宋_GB2312" w:cs="仿宋_GB2312"/>
                <w:b w:val="0"/>
                <w:bCs w:val="0"/>
                <w:color w:val="auto"/>
                <w:sz w:val="24"/>
                <w:szCs w:val="32"/>
                <w:lang w:val="en-US" w:eastAsia="zh-CN"/>
              </w:rPr>
              <w:t>发现一次不符合项，扣1分。</w:t>
            </w:r>
          </w:p>
          <w:p w14:paraId="61D328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节能服务过程中每发生一次环境污染事故扣5分，出现被环保部门处罚环境污染事故本项得分为0。</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0B5C6ED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7AEA0B21">
        <w:tblPrEx>
          <w:tblCellMar>
            <w:top w:w="0" w:type="dxa"/>
            <w:left w:w="108" w:type="dxa"/>
            <w:bottom w:w="0" w:type="dxa"/>
            <w:right w:w="108" w:type="dxa"/>
          </w:tblCellMar>
        </w:tblPrEx>
        <w:trPr>
          <w:trHeight w:val="0" w:hRule="atLeast"/>
          <w:jc w:val="center"/>
        </w:trPr>
        <w:tc>
          <w:tcPr>
            <w:tcW w:w="1351" w:type="dxa"/>
            <w:vMerge w:val="restart"/>
            <w:tcBorders>
              <w:top w:val="single" w:color="auto" w:sz="4" w:space="0"/>
              <w:left w:val="single" w:color="auto" w:sz="4" w:space="0"/>
              <w:bottom w:val="single" w:color="auto" w:sz="4" w:space="0"/>
              <w:right w:val="single" w:color="auto" w:sz="4" w:space="0"/>
            </w:tcBorders>
            <w:noWrap/>
            <w:vAlign w:val="center"/>
          </w:tcPr>
          <w:p w14:paraId="1591CFD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r>
              <w:rPr>
                <w:rStyle w:val="8"/>
                <w:rFonts w:hint="eastAsia" w:ascii="仿宋_GB2312" w:hAnsi="仿宋_GB2312" w:eastAsia="仿宋_GB2312" w:cs="仿宋_GB2312"/>
                <w:kern w:val="0"/>
                <w:sz w:val="24"/>
                <w:szCs w:val="24"/>
                <w:lang w:val="en-US" w:eastAsia="zh-CN" w:bidi="ar"/>
              </w:rPr>
              <w:t>服务质量</w:t>
            </w:r>
          </w:p>
        </w:tc>
        <w:tc>
          <w:tcPr>
            <w:tcW w:w="1213" w:type="dxa"/>
            <w:tcBorders>
              <w:top w:val="single" w:color="auto" w:sz="4" w:space="0"/>
              <w:left w:val="single" w:color="auto" w:sz="4" w:space="0"/>
              <w:bottom w:val="single" w:color="auto" w:sz="4" w:space="0"/>
              <w:right w:val="single" w:color="auto" w:sz="4" w:space="0"/>
            </w:tcBorders>
            <w:vAlign w:val="center"/>
          </w:tcPr>
          <w:p w14:paraId="5643CFB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指导、培训相关人员使用平台</w:t>
            </w:r>
          </w:p>
        </w:tc>
        <w:tc>
          <w:tcPr>
            <w:tcW w:w="850" w:type="dxa"/>
            <w:tcBorders>
              <w:top w:val="single" w:color="auto" w:sz="4" w:space="0"/>
              <w:left w:val="single" w:color="auto" w:sz="4" w:space="0"/>
              <w:bottom w:val="single" w:color="auto" w:sz="4" w:space="0"/>
              <w:right w:val="single" w:color="auto" w:sz="4" w:space="0"/>
            </w:tcBorders>
            <w:noWrap/>
            <w:vAlign w:val="center"/>
          </w:tcPr>
          <w:p w14:paraId="77F22A1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612C0AF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每月巡检，确保平台正常运行，数据实时更新，指导招标人指定人员学习使用平台。平台运行出现故障一次，1天内无法解决的扣5分。发现数据未实时更新一次，扣5分</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61FDE97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03CE60ED">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50B71E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06E7208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故障响应</w:t>
            </w:r>
          </w:p>
        </w:tc>
        <w:tc>
          <w:tcPr>
            <w:tcW w:w="850" w:type="dxa"/>
            <w:tcBorders>
              <w:top w:val="single" w:color="auto" w:sz="4" w:space="0"/>
              <w:left w:val="single" w:color="auto" w:sz="4" w:space="0"/>
              <w:bottom w:val="single" w:color="auto" w:sz="4" w:space="0"/>
              <w:right w:val="single" w:color="auto" w:sz="4" w:space="0"/>
            </w:tcBorders>
            <w:noWrap/>
            <w:vAlign w:val="center"/>
          </w:tcPr>
          <w:p w14:paraId="4FA029B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2DF7A6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设备发生故障后，以签订合同响应时间为准，发现一次不符合项，扣1分。</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20530F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4DDF5176">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490E17F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440EFD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用能制度</w:t>
            </w:r>
          </w:p>
        </w:tc>
        <w:tc>
          <w:tcPr>
            <w:tcW w:w="850" w:type="dxa"/>
            <w:tcBorders>
              <w:top w:val="single" w:color="auto" w:sz="4" w:space="0"/>
              <w:left w:val="single" w:color="auto" w:sz="4" w:space="0"/>
              <w:bottom w:val="single" w:color="auto" w:sz="4" w:space="0"/>
              <w:right w:val="single" w:color="auto" w:sz="4" w:space="0"/>
            </w:tcBorders>
            <w:noWrap/>
            <w:vAlign w:val="center"/>
          </w:tcPr>
          <w:p w14:paraId="3BD9CD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18510D9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根据公共机构节能管理相关要求，制定能源管理制度，综合实际情况，了解办公人员的需求及公共机构能源资源管理要求，配合制定能源管理制度的具体内容和要求。未能有效协助采购方扣5分。</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6DE0986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5E87D85E">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69A3C9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216F8E2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技术支持</w:t>
            </w:r>
          </w:p>
        </w:tc>
        <w:tc>
          <w:tcPr>
            <w:tcW w:w="850" w:type="dxa"/>
            <w:tcBorders>
              <w:top w:val="single" w:color="auto" w:sz="4" w:space="0"/>
              <w:left w:val="single" w:color="auto" w:sz="4" w:space="0"/>
              <w:bottom w:val="single" w:color="auto" w:sz="4" w:space="0"/>
              <w:right w:val="single" w:color="auto" w:sz="4" w:space="0"/>
            </w:tcBorders>
            <w:noWrap/>
            <w:vAlign w:val="center"/>
          </w:tcPr>
          <w:p w14:paraId="765EA5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54F2A5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节能服务公司应提供专业的技术支持，包括设备调试、故障排除、技术咨询等方面。评估技术支持的质量和效果，如技术人员是否具备专业知识和技能，是否能够及时解决问题。</w:t>
            </w:r>
            <w:r>
              <w:rPr>
                <w:rFonts w:hint="eastAsia" w:ascii="仿宋_GB2312" w:hAnsi="仿宋_GB2312" w:eastAsia="仿宋_GB2312" w:cs="仿宋_GB2312"/>
                <w:b w:val="0"/>
                <w:bCs w:val="0"/>
                <w:color w:val="auto"/>
                <w:sz w:val="24"/>
                <w:szCs w:val="32"/>
                <w:lang w:val="en-US" w:eastAsia="zh-CN"/>
              </w:rPr>
              <w:t>根据评估结果进行评分。</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5AC0765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643CD6DA">
        <w:tblPrEx>
          <w:tblCellMar>
            <w:top w:w="0" w:type="dxa"/>
            <w:left w:w="108" w:type="dxa"/>
            <w:bottom w:w="0" w:type="dxa"/>
            <w:right w:w="108" w:type="dxa"/>
          </w:tblCellMar>
        </w:tblPrEx>
        <w:trPr>
          <w:trHeight w:val="0" w:hRule="atLeast"/>
          <w:jc w:val="center"/>
        </w:trPr>
        <w:tc>
          <w:tcPr>
            <w:tcW w:w="1351" w:type="dxa"/>
            <w:vMerge w:val="restart"/>
            <w:tcBorders>
              <w:top w:val="single" w:color="auto" w:sz="4" w:space="0"/>
              <w:left w:val="single" w:color="auto" w:sz="4" w:space="0"/>
              <w:bottom w:val="single" w:color="auto" w:sz="4" w:space="0"/>
              <w:right w:val="single" w:color="auto" w:sz="4" w:space="0"/>
            </w:tcBorders>
            <w:noWrap/>
            <w:vAlign w:val="center"/>
          </w:tcPr>
          <w:p w14:paraId="0BAF834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r>
              <w:rPr>
                <w:rStyle w:val="8"/>
                <w:rFonts w:hint="eastAsia" w:ascii="仿宋_GB2312" w:hAnsi="仿宋_GB2312" w:eastAsia="仿宋_GB2312" w:cs="仿宋_GB2312"/>
                <w:kern w:val="0"/>
                <w:sz w:val="24"/>
                <w:szCs w:val="24"/>
                <w:lang w:val="en-US" w:eastAsia="zh-CN" w:bidi="ar"/>
              </w:rPr>
              <w:t>满意度评价（见附表）</w:t>
            </w:r>
          </w:p>
        </w:tc>
        <w:tc>
          <w:tcPr>
            <w:tcW w:w="1213" w:type="dxa"/>
            <w:tcBorders>
              <w:top w:val="single" w:color="auto" w:sz="4" w:space="0"/>
              <w:left w:val="single" w:color="auto" w:sz="4" w:space="0"/>
              <w:bottom w:val="single" w:color="auto" w:sz="4" w:space="0"/>
              <w:right w:val="single" w:color="auto" w:sz="4" w:space="0"/>
            </w:tcBorders>
            <w:vAlign w:val="center"/>
          </w:tcPr>
          <w:p w14:paraId="32C877E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服务态度</w:t>
            </w:r>
          </w:p>
        </w:tc>
        <w:tc>
          <w:tcPr>
            <w:tcW w:w="850" w:type="dxa"/>
            <w:tcBorders>
              <w:top w:val="single" w:color="auto" w:sz="4" w:space="0"/>
              <w:left w:val="single" w:color="auto" w:sz="4" w:space="0"/>
              <w:bottom w:val="single" w:color="auto" w:sz="4" w:space="0"/>
              <w:right w:val="single" w:color="auto" w:sz="4" w:space="0"/>
            </w:tcBorders>
            <w:noWrap/>
            <w:vAlign w:val="center"/>
          </w:tcPr>
          <w:p w14:paraId="6E6F719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6561955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评价节能服务公司工作人员的服务态度是否热情、周到、耐心。</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38FA7A3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0911324C">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413F381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4839544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服务质量</w:t>
            </w:r>
          </w:p>
        </w:tc>
        <w:tc>
          <w:tcPr>
            <w:tcW w:w="850" w:type="dxa"/>
            <w:tcBorders>
              <w:top w:val="single" w:color="auto" w:sz="4" w:space="0"/>
              <w:left w:val="single" w:color="auto" w:sz="4" w:space="0"/>
              <w:bottom w:val="single" w:color="auto" w:sz="4" w:space="0"/>
              <w:right w:val="single" w:color="auto" w:sz="4" w:space="0"/>
            </w:tcBorders>
            <w:noWrap/>
            <w:vAlign w:val="center"/>
          </w:tcPr>
          <w:p w14:paraId="6AABAA3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63DE71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对节能服务公司提供的服务质量进行评价，包括设备维护、故障处理等方面。</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2058D0D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364229BF">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6E4143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70C9B9E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节能效果</w:t>
            </w:r>
          </w:p>
        </w:tc>
        <w:tc>
          <w:tcPr>
            <w:tcW w:w="850" w:type="dxa"/>
            <w:tcBorders>
              <w:top w:val="single" w:color="auto" w:sz="4" w:space="0"/>
              <w:left w:val="single" w:color="auto" w:sz="4" w:space="0"/>
              <w:bottom w:val="single" w:color="auto" w:sz="4" w:space="0"/>
              <w:right w:val="single" w:color="auto" w:sz="4" w:space="0"/>
            </w:tcBorders>
            <w:noWrap/>
            <w:vAlign w:val="center"/>
          </w:tcPr>
          <w:p w14:paraId="2E2B904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4809358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评估项目实施的节能效果是否达到预期，对能源成本的降低是否有明显感受。</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7EF66E9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77A1EB2C">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4377737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0912CB9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改造体验</w:t>
            </w:r>
          </w:p>
        </w:tc>
        <w:tc>
          <w:tcPr>
            <w:tcW w:w="850" w:type="dxa"/>
            <w:tcBorders>
              <w:top w:val="single" w:color="auto" w:sz="4" w:space="0"/>
              <w:left w:val="single" w:color="auto" w:sz="4" w:space="0"/>
              <w:bottom w:val="single" w:color="auto" w:sz="4" w:space="0"/>
              <w:right w:val="single" w:color="auto" w:sz="4" w:space="0"/>
            </w:tcBorders>
            <w:noWrap/>
            <w:vAlign w:val="center"/>
          </w:tcPr>
          <w:p w14:paraId="2B90226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6E0821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对节能改造过程及相应节能管理措施是否影响日常办公进行评价。</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6D2B19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r w14:paraId="7A3A3911">
        <w:tblPrEx>
          <w:tblCellMar>
            <w:top w:w="0" w:type="dxa"/>
            <w:left w:w="108" w:type="dxa"/>
            <w:bottom w:w="0" w:type="dxa"/>
            <w:right w:w="108" w:type="dxa"/>
          </w:tblCellMar>
        </w:tblPrEx>
        <w:trPr>
          <w:trHeight w:val="0"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ign w:val="center"/>
          </w:tcPr>
          <w:p w14:paraId="393EB0B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Style w:val="8"/>
                <w:rFonts w:hint="eastAsia" w:ascii="仿宋_GB2312" w:hAnsi="仿宋_GB2312" w:eastAsia="仿宋_GB2312" w:cs="仿宋_GB2312"/>
                <w:kern w:val="0"/>
                <w:sz w:val="24"/>
                <w:szCs w:val="24"/>
                <w:lang w:val="en-US" w:eastAsia="zh-CN" w:bidi="ar"/>
              </w:rPr>
            </w:pPr>
          </w:p>
        </w:tc>
        <w:tc>
          <w:tcPr>
            <w:tcW w:w="1213" w:type="dxa"/>
            <w:tcBorders>
              <w:top w:val="single" w:color="auto" w:sz="4" w:space="0"/>
              <w:left w:val="single" w:color="auto" w:sz="4" w:space="0"/>
              <w:bottom w:val="single" w:color="auto" w:sz="4" w:space="0"/>
              <w:right w:val="single" w:color="auto" w:sz="4" w:space="0"/>
            </w:tcBorders>
            <w:vAlign w:val="center"/>
          </w:tcPr>
          <w:p w14:paraId="4958B3B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整体评价</w:t>
            </w:r>
          </w:p>
        </w:tc>
        <w:tc>
          <w:tcPr>
            <w:tcW w:w="850" w:type="dxa"/>
            <w:tcBorders>
              <w:top w:val="single" w:color="auto" w:sz="4" w:space="0"/>
              <w:left w:val="single" w:color="auto" w:sz="4" w:space="0"/>
              <w:bottom w:val="single" w:color="auto" w:sz="4" w:space="0"/>
              <w:right w:val="single" w:color="auto" w:sz="4" w:space="0"/>
            </w:tcBorders>
            <w:noWrap/>
            <w:vAlign w:val="center"/>
          </w:tcPr>
          <w:p w14:paraId="42A2A68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5</w:t>
            </w:r>
          </w:p>
        </w:tc>
        <w:tc>
          <w:tcPr>
            <w:tcW w:w="4578" w:type="dxa"/>
            <w:tcBorders>
              <w:top w:val="single" w:color="auto" w:sz="4" w:space="0"/>
              <w:left w:val="single" w:color="auto" w:sz="4" w:space="0"/>
              <w:bottom w:val="single" w:color="auto" w:sz="4" w:space="0"/>
              <w:right w:val="single" w:color="auto" w:sz="4" w:space="0"/>
            </w:tcBorders>
            <w:vAlign w:val="center"/>
          </w:tcPr>
          <w:p w14:paraId="7F353C1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r>
              <w:rPr>
                <w:rFonts w:hint="eastAsia" w:ascii="仿宋_GB2312" w:hAnsi="仿宋_GB2312" w:eastAsia="仿宋_GB2312" w:cs="仿宋_GB2312"/>
                <w:b w:val="0"/>
                <w:bCs w:val="0"/>
                <w:color w:val="auto"/>
                <w:sz w:val="24"/>
                <w:szCs w:val="32"/>
              </w:rPr>
              <w:t>对合同能源管理项目的整体情况进行评价，包括项目的实施过程、效果、服务等方面。</w:t>
            </w:r>
          </w:p>
        </w:tc>
        <w:tc>
          <w:tcPr>
            <w:tcW w:w="850" w:type="dxa"/>
            <w:tcBorders>
              <w:top w:val="single" w:color="000000" w:sz="4" w:space="0"/>
              <w:left w:val="single" w:color="auto" w:sz="4" w:space="0"/>
              <w:bottom w:val="single" w:color="000000" w:sz="4" w:space="0"/>
              <w:right w:val="single" w:color="000000" w:sz="4" w:space="0"/>
            </w:tcBorders>
            <w:noWrap/>
            <w:vAlign w:val="center"/>
          </w:tcPr>
          <w:p w14:paraId="2A63A6B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textAlignment w:val="auto"/>
              <w:rPr>
                <w:rFonts w:hint="eastAsia" w:ascii="仿宋_GB2312" w:hAnsi="仿宋_GB2312" w:eastAsia="仿宋_GB2312" w:cs="仿宋_GB2312"/>
                <w:b w:val="0"/>
                <w:bCs w:val="0"/>
                <w:color w:val="auto"/>
                <w:sz w:val="24"/>
                <w:szCs w:val="32"/>
              </w:rPr>
            </w:pPr>
          </w:p>
        </w:tc>
      </w:tr>
    </w:tbl>
    <w:p w14:paraId="14E4AD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备注：</w:t>
      </w:r>
    </w:p>
    <w:p w14:paraId="400A280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①施工及运营期间，须确保不影响东部办公区的日常办公。严禁以拉闸断电等方式干扰正常办公秩序。如有违反，每次将视为一次违约警告。累计收到三次警告后，将暂缓支付当年度节能服务费。</w:t>
      </w:r>
    </w:p>
    <w:p w14:paraId="3FFDB6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②若当年度内出现安全或环保事故，且责任方为</w:t>
      </w:r>
      <w:r>
        <w:rPr>
          <w:rFonts w:hint="eastAsia" w:ascii="仿宋_GB2312" w:hAnsi="仿宋_GB2312" w:eastAsia="仿宋_GB2312" w:cs="仿宋_GB2312"/>
          <w:kern w:val="0"/>
          <w:sz w:val="28"/>
          <w:szCs w:val="28"/>
          <w:lang w:bidi="ar"/>
        </w:rPr>
        <w:t>节能服务公司</w:t>
      </w: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val="en-US" w:eastAsia="zh-CN" w:bidi="ar"/>
        </w:rPr>
        <w:t>节能服务公司需承担全部责任，年度考核分数直接扣除30分。</w:t>
      </w:r>
    </w:p>
    <w:p w14:paraId="17FF63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br w:type="page"/>
      </w:r>
    </w:p>
    <w:p w14:paraId="3DA086D6">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四</w:t>
      </w:r>
      <w:r>
        <w:rPr>
          <w:rFonts w:hint="eastAsia" w:ascii="黑体" w:hAnsi="黑体" w:eastAsia="黑体" w:cs="黑体"/>
          <w:b w:val="0"/>
          <w:bCs w:val="0"/>
          <w:sz w:val="28"/>
          <w:szCs w:val="28"/>
        </w:rPr>
        <w:t>、考核方式</w:t>
      </w:r>
    </w:p>
    <w:p w14:paraId="734F36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kern w:val="0"/>
          <w:sz w:val="28"/>
          <w:szCs w:val="28"/>
          <w:lang w:val="en-US" w:eastAsia="zh-CN" w:bidi="ar"/>
        </w:rPr>
      </w:pPr>
      <w:r>
        <w:rPr>
          <w:rStyle w:val="8"/>
          <w:rFonts w:hint="eastAsia" w:ascii="仿宋_GB2312" w:hAnsi="仿宋_GB2312" w:eastAsia="仿宋_GB2312" w:cs="仿宋_GB2312"/>
          <w:kern w:val="0"/>
          <w:sz w:val="28"/>
          <w:szCs w:val="28"/>
          <w:lang w:val="en-US" w:eastAsia="zh-CN" w:bidi="ar"/>
        </w:rPr>
        <w:t>4.1 考核周期</w:t>
      </w:r>
      <w:r>
        <w:rPr>
          <w:rFonts w:hint="eastAsia" w:ascii="仿宋_GB2312" w:hAnsi="仿宋_GB2312" w:eastAsia="仿宋_GB2312" w:cs="仿宋_GB2312"/>
          <w:kern w:val="0"/>
          <w:sz w:val="28"/>
          <w:szCs w:val="28"/>
          <w:lang w:val="en-US" w:eastAsia="zh-CN" w:bidi="ar"/>
        </w:rPr>
        <w:t xml:space="preserve"> 考核按照季度考核（自验收合格之日起12个月为一个年度）。首年的季度考核全部合格的，第二个年度按照每半年考核一次。连续两年的年度考核合格的，按照一年一考核。综合得分90分及以上视为考核合格。</w:t>
      </w:r>
    </w:p>
    <w:p w14:paraId="483340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4.2 考核流程</w:t>
      </w:r>
    </w:p>
    <w:p w14:paraId="3C875C77">
      <w:pPr>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（1）数据收集</w:t>
      </w:r>
      <w:r>
        <w:rPr>
          <w:rFonts w:hint="eastAsia" w:ascii="仿宋_GB2312" w:hAnsi="仿宋_GB2312" w:eastAsia="仿宋_GB2312" w:cs="仿宋_GB2312"/>
          <w:kern w:val="0"/>
          <w:sz w:val="28"/>
          <w:szCs w:val="28"/>
          <w:lang w:val="en-US" w:eastAsia="zh-CN" w:bidi="ar"/>
        </w:rPr>
        <w:t>：政府公共机构相关部门负责收集项目实施过程中的相关数据，包括能源消耗数据、设备运行记录、故障报修记录、用户评价等。</w:t>
      </w:r>
    </w:p>
    <w:p w14:paraId="73115257">
      <w:pPr>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（2）评估分析</w:t>
      </w:r>
      <w:r>
        <w:rPr>
          <w:rFonts w:hint="eastAsia" w:ascii="仿宋_GB2312" w:hAnsi="仿宋_GB2312" w:eastAsia="仿宋_GB2312" w:cs="仿宋_GB2312"/>
          <w:kern w:val="0"/>
          <w:sz w:val="28"/>
          <w:szCs w:val="28"/>
          <w:lang w:val="en-US" w:eastAsia="zh-CN" w:bidi="ar"/>
        </w:rPr>
        <w:t>：考核小组根据收集到的数据，按照本考核细则的评分标准进行评估分析，计算各项考核指标的得分。</w:t>
      </w:r>
    </w:p>
    <w:p w14:paraId="60EB0DA8">
      <w:pPr>
        <w:keepNext w:val="0"/>
        <w:keepLines w:val="0"/>
        <w:pageBreakBefore w:val="0"/>
        <w:widowControl/>
        <w:suppressLineNumbers w:val="0"/>
        <w:pBdr>
          <w:left w:val="none" w:color="auto" w:sz="0" w:space="0"/>
        </w:pBdr>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（3）结果反馈</w:t>
      </w:r>
      <w:r>
        <w:rPr>
          <w:rFonts w:hint="eastAsia" w:ascii="仿宋_GB2312" w:hAnsi="仿宋_GB2312" w:eastAsia="仿宋_GB2312" w:cs="仿宋_GB2312"/>
          <w:kern w:val="0"/>
          <w:sz w:val="28"/>
          <w:szCs w:val="28"/>
          <w:lang w:val="en-US" w:eastAsia="zh-CN" w:bidi="ar"/>
        </w:rPr>
        <w:t>：将考核结果及时反馈给节能服务公司，同时抄送相关部门。节能服务公司如有异议，可在收到考核结果后的 5 个工作日内提出书面申诉，考核小组应在收到申诉后的 10 个工作日内进行复核并给予答复。</w:t>
      </w:r>
    </w:p>
    <w:p w14:paraId="5242B8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2" w:firstLineChars="200"/>
        <w:jc w:val="left"/>
        <w:textAlignment w:val="auto"/>
        <w:rPr>
          <w:rFonts w:hint="eastAsia" w:ascii="仿宋_GB2312" w:hAnsi="仿宋_GB2312" w:eastAsia="仿宋_GB2312" w:cs="仿宋_GB2312"/>
          <w:sz w:val="28"/>
          <w:szCs w:val="28"/>
        </w:rPr>
      </w:pPr>
      <w:r>
        <w:rPr>
          <w:rStyle w:val="8"/>
          <w:rFonts w:hint="eastAsia" w:ascii="仿宋_GB2312" w:hAnsi="仿宋_GB2312" w:eastAsia="仿宋_GB2312" w:cs="仿宋_GB2312"/>
          <w:kern w:val="0"/>
          <w:sz w:val="28"/>
          <w:szCs w:val="28"/>
          <w:lang w:val="en-US" w:eastAsia="zh-CN" w:bidi="ar"/>
        </w:rPr>
        <w:t>4.3 考核主体</w:t>
      </w:r>
      <w:r>
        <w:rPr>
          <w:rFonts w:hint="eastAsia" w:ascii="仿宋_GB2312" w:hAnsi="仿宋_GB2312" w:eastAsia="仿宋_GB2312" w:cs="仿宋_GB2312"/>
          <w:kern w:val="0"/>
          <w:sz w:val="28"/>
          <w:szCs w:val="28"/>
          <w:lang w:val="en-US" w:eastAsia="zh-CN" w:bidi="ar"/>
        </w:rPr>
        <w:t xml:space="preserve"> 由市机关局、市住建局成立专门的考核小组，负责合同能源管理服务的考核工作。</w:t>
      </w:r>
    </w:p>
    <w:p w14:paraId="14717AEB">
      <w:pPr>
        <w:pStyle w:val="3"/>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五、考核结果运用</w:t>
      </w:r>
    </w:p>
    <w:p w14:paraId="23032D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考核结束后，考核小组应及时将考核结果以书面形式反馈给节能服务公司，同时向政府公共机构的相关领导和部门进行通报。反馈内容应包括各项考核指标的得分情况、存在的问题及改进建议等。</w:t>
      </w:r>
    </w:p>
    <w:p w14:paraId="0FA3F3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bookmarkStart w:id="0" w:name="_Hlk205397607"/>
      <w:r>
        <w:rPr>
          <w:rFonts w:hint="eastAsia" w:ascii="仿宋_GB2312" w:hAnsi="仿宋_GB2312" w:eastAsia="仿宋_GB2312" w:cs="仿宋_GB2312"/>
          <w:kern w:val="0"/>
          <w:sz w:val="28"/>
          <w:szCs w:val="28"/>
          <w:lang w:val="en-US" w:eastAsia="zh-CN" w:bidi="ar"/>
        </w:rPr>
        <w:t>若单年度节能率达到20%（或节电费用达300万）时，综合得分90分及以上支付节能服务费的100%，90分以下，每扣1分扣减1%，80分以下每扣减1分扣减2%，70分以下暂缓支付节能服务费，节能服务公司迅速做出整改。</w:t>
      </w:r>
    </w:p>
    <w:p w14:paraId="44EDE6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若单年度节能率达到15%以上但未达到20%时，综合得分90分及以上支付实际节电费用的100%，90分以下，每扣1分扣减1%，80分以下每扣减1分扣减2%，70分以下暂缓支付节能服务费，节能服务公司提供对应书面说明，迅速做出整改。</w:t>
      </w:r>
    </w:p>
    <w:p w14:paraId="7891B3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若单年度节能率未达15%，则招标人不支付该年度的节能服务费。累计2个年度年能率未达20%（或节电费用未达300万），招标人有权单方面终止运营合同，并有权拒绝支付之后的节能服务费。</w:t>
      </w:r>
      <w:bookmarkEnd w:id="0"/>
    </w:p>
    <w:p w14:paraId="2C64FF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560" w:firstLineChars="200"/>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考核结果以年内每次考核的平均值为准，其中“节能量计算”以年度节能率计算结果为准。</w:t>
      </w:r>
    </w:p>
    <w:p w14:paraId="6E1A2C22">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pPr>
    </w:p>
    <w:p w14:paraId="08E578BF">
      <w:pPr>
        <w:keepNext w:val="0"/>
        <w:keepLines w:val="0"/>
        <w:pageBreakBefore w:val="0"/>
        <w:kinsoku/>
        <w:wordWrap/>
        <w:overflowPunct/>
        <w:topLinePunct w:val="0"/>
        <w:autoSpaceDE/>
        <w:autoSpaceDN/>
        <w:bidi w:val="0"/>
        <w:adjustRightInd/>
        <w:snapToGrid/>
        <w:spacing w:beforeAutospacing="0" w:afterAutospacing="0" w:line="500" w:lineRule="exact"/>
        <w:textAlignment w:val="auto"/>
        <w:sectPr>
          <w:pgSz w:w="11906" w:h="16838"/>
          <w:pgMar w:top="1440" w:right="1800" w:bottom="1440" w:left="1800" w:header="851" w:footer="992" w:gutter="0"/>
          <w:cols w:space="425" w:num="1"/>
          <w:docGrid w:type="lines" w:linePitch="312" w:charSpace="0"/>
        </w:sectPr>
      </w:pPr>
    </w:p>
    <w:p w14:paraId="5A148100">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[附表：用户评价表]</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387"/>
        <w:gridCol w:w="4624"/>
        <w:gridCol w:w="1405"/>
      </w:tblGrid>
      <w:tr w14:paraId="3B3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6966" w:type="dxa"/>
            <w:gridSpan w:val="2"/>
            <w:shd w:val="clear" w:color="auto" w:fill="auto"/>
            <w:vAlign w:val="center"/>
          </w:tcPr>
          <w:p w14:paraId="5F618E47">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用户姓名：                          部门：</w:t>
            </w:r>
          </w:p>
        </w:tc>
        <w:tc>
          <w:tcPr>
            <w:tcW w:w="1360" w:type="dxa"/>
            <w:shd w:val="clear" w:color="auto" w:fill="auto"/>
            <w:vAlign w:val="center"/>
          </w:tcPr>
          <w:p w14:paraId="11A8E02F">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评分</w:t>
            </w:r>
          </w:p>
        </w:tc>
      </w:tr>
      <w:tr w14:paraId="3471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357AAC16">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服务态度</w:t>
            </w:r>
          </w:p>
        </w:tc>
        <w:tc>
          <w:tcPr>
            <w:tcW w:w="4594" w:type="dxa"/>
            <w:shd w:val="clear" w:color="auto" w:fill="auto"/>
            <w:vAlign w:val="center"/>
          </w:tcPr>
          <w:p w14:paraId="6D663FD8">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评价节能服务公司工作人员的服务态度是否热情、周到、耐心。</w:t>
            </w:r>
          </w:p>
        </w:tc>
        <w:tc>
          <w:tcPr>
            <w:tcW w:w="1360" w:type="dxa"/>
            <w:shd w:val="clear" w:color="auto" w:fill="auto"/>
            <w:vAlign w:val="center"/>
          </w:tcPr>
          <w:p w14:paraId="4006FB2B">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r w14:paraId="5C16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1E6BBEB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服务质量</w:t>
            </w:r>
          </w:p>
        </w:tc>
        <w:tc>
          <w:tcPr>
            <w:tcW w:w="4594" w:type="dxa"/>
            <w:shd w:val="clear" w:color="auto" w:fill="auto"/>
            <w:vAlign w:val="center"/>
          </w:tcPr>
          <w:p w14:paraId="243AFC6A">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对节能服务公司提供的服务质量进行评价，包括设备维护、故障处理等方面。</w:t>
            </w:r>
          </w:p>
        </w:tc>
        <w:tc>
          <w:tcPr>
            <w:tcW w:w="1360" w:type="dxa"/>
            <w:shd w:val="clear" w:color="auto" w:fill="auto"/>
            <w:vAlign w:val="center"/>
          </w:tcPr>
          <w:p w14:paraId="7C38786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r w14:paraId="029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3D7C03BF">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节能效果</w:t>
            </w:r>
          </w:p>
        </w:tc>
        <w:tc>
          <w:tcPr>
            <w:tcW w:w="4594" w:type="dxa"/>
            <w:shd w:val="clear" w:color="auto" w:fill="auto"/>
            <w:vAlign w:val="center"/>
          </w:tcPr>
          <w:p w14:paraId="49DED75B">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评估项目实施的节能效果是否达到预期，对能源成本的降低是否有明显感受。</w:t>
            </w:r>
          </w:p>
        </w:tc>
        <w:tc>
          <w:tcPr>
            <w:tcW w:w="1360" w:type="dxa"/>
            <w:shd w:val="clear" w:color="auto" w:fill="auto"/>
            <w:vAlign w:val="center"/>
          </w:tcPr>
          <w:p w14:paraId="45A79C2F">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r w14:paraId="761D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2CB95FB1">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改造体验</w:t>
            </w:r>
          </w:p>
        </w:tc>
        <w:tc>
          <w:tcPr>
            <w:tcW w:w="4594" w:type="dxa"/>
            <w:shd w:val="clear" w:color="auto" w:fill="auto"/>
            <w:vAlign w:val="center"/>
          </w:tcPr>
          <w:p w14:paraId="19B79645">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对节能改造过程及相应节能管理措施是否影响日常办公进行评价。</w:t>
            </w:r>
          </w:p>
        </w:tc>
        <w:tc>
          <w:tcPr>
            <w:tcW w:w="1360" w:type="dxa"/>
            <w:shd w:val="clear" w:color="auto" w:fill="auto"/>
            <w:vAlign w:val="center"/>
          </w:tcPr>
          <w:p w14:paraId="71AA56E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r w14:paraId="0AB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057EB48D">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整体评价</w:t>
            </w:r>
          </w:p>
        </w:tc>
        <w:tc>
          <w:tcPr>
            <w:tcW w:w="4594" w:type="dxa"/>
            <w:shd w:val="clear" w:color="auto" w:fill="auto"/>
            <w:vAlign w:val="center"/>
          </w:tcPr>
          <w:p w14:paraId="35BD38A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对合同能源管理项目的整体情况进行评价，包括项目的实施过程、效果、服务等方面。</w:t>
            </w:r>
          </w:p>
        </w:tc>
        <w:tc>
          <w:tcPr>
            <w:tcW w:w="1360" w:type="dxa"/>
            <w:shd w:val="clear" w:color="auto" w:fill="auto"/>
            <w:vAlign w:val="center"/>
          </w:tcPr>
          <w:p w14:paraId="4263A010">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r w14:paraId="7DB9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2342" w:type="dxa"/>
            <w:shd w:val="clear" w:color="auto" w:fill="auto"/>
            <w:vAlign w:val="center"/>
          </w:tcPr>
          <w:p w14:paraId="7BA56E73">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用户意见及建议：</w:t>
            </w:r>
          </w:p>
        </w:tc>
        <w:tc>
          <w:tcPr>
            <w:tcW w:w="5984" w:type="dxa"/>
            <w:gridSpan w:val="2"/>
            <w:shd w:val="clear" w:color="auto" w:fill="auto"/>
            <w:vAlign w:val="center"/>
          </w:tcPr>
          <w:p w14:paraId="56822968">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28"/>
                <w:szCs w:val="28"/>
              </w:rPr>
            </w:pPr>
          </w:p>
        </w:tc>
      </w:tr>
    </w:tbl>
    <w:p w14:paraId="508D40FE">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 xml:space="preserve">                                  [日期]</w:t>
      </w:r>
    </w:p>
    <w:p w14:paraId="058CB18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8"/>
          <w:szCs w:val="28"/>
        </w:rPr>
      </w:pPr>
    </w:p>
    <w:p w14:paraId="37AAFBD1">
      <w:pPr>
        <w:keepNext w:val="0"/>
        <w:keepLines w:val="0"/>
        <w:pageBreakBefore w:val="0"/>
        <w:kinsoku/>
        <w:wordWrap/>
        <w:overflowPunct/>
        <w:topLinePunct w:val="0"/>
        <w:autoSpaceDE/>
        <w:autoSpaceDN/>
        <w:bidi w:val="0"/>
        <w:adjustRightInd/>
        <w:snapToGrid/>
        <w:spacing w:beforeAutospacing="0" w:afterAutospacing="0"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C9035-2650-477E-8310-CE0DDDD9AF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D61587F-FF3C-4F5C-92D6-064A7EB9BCFC}"/>
  </w:font>
  <w:font w:name="仿宋_GB2312">
    <w:panose1 w:val="02010609030101010101"/>
    <w:charset w:val="86"/>
    <w:family w:val="auto"/>
    <w:pitch w:val="default"/>
    <w:sig w:usb0="00000001" w:usb1="080E0000" w:usb2="00000000" w:usb3="00000000" w:csb0="00040000" w:csb1="00000000"/>
    <w:embedRegular r:id="rId3" w:fontKey="{2CDFBF47-EC7E-44AA-80F4-6F76B002D7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F260D"/>
    <w:rsid w:val="01DC23F0"/>
    <w:rsid w:val="0407254D"/>
    <w:rsid w:val="15A25856"/>
    <w:rsid w:val="21D93C1E"/>
    <w:rsid w:val="221E422E"/>
    <w:rsid w:val="2833148F"/>
    <w:rsid w:val="2D3035EC"/>
    <w:rsid w:val="2DFB0F09"/>
    <w:rsid w:val="35AE5514"/>
    <w:rsid w:val="36202E56"/>
    <w:rsid w:val="3C8F2B03"/>
    <w:rsid w:val="425616CD"/>
    <w:rsid w:val="42BA7FC2"/>
    <w:rsid w:val="477E0257"/>
    <w:rsid w:val="4A1F260D"/>
    <w:rsid w:val="64AF38BD"/>
    <w:rsid w:val="6BE7A942"/>
    <w:rsid w:val="745148D6"/>
    <w:rsid w:val="78190B61"/>
    <w:rsid w:val="7B7B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framePr w:wrap="around" w:vAnchor="margin" w:hAnchor="text" w:y="1"/>
      <w:ind w:firstLine="420"/>
    </w:pPr>
    <w:rPr>
      <w:rFonts w:ascii="Times New Roman" w:hAnsi="Times New Roman" w:eastAsia="宋体" w:cs="Times New Roman"/>
      <w:szCs w:val="24"/>
    </w:rPr>
  </w:style>
  <w:style w:type="paragraph" w:styleId="5">
    <w:name w:val="annotation text"/>
    <w:basedOn w:val="1"/>
    <w:qFormat/>
    <w:uiPriority w:val="0"/>
    <w:pPr>
      <w:jc w:val="left"/>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3327</Words>
  <Characters>3447</Characters>
  <Lines>0</Lines>
  <Paragraphs>0</Paragraphs>
  <TotalTime>10</TotalTime>
  <ScaleCrop>false</ScaleCrop>
  <LinksUpToDate>false</LinksUpToDate>
  <CharactersWithSpaces>3527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2025-08-06T11:12:00Z</dcterms:created>
  <dc:creator>大咸鱼</dc:creator>
  <cp:lastModifiedBy>Zou</cp:lastModifiedBy>
  <dcterms:modified xsi:type="dcterms:W3CDTF">2025-09-18T09:55:08Z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38FBE826773D4FE4B3F835C6F321E113_13</vt:lpwstr>
  </property>
  <property fmtid="{D5CDD505-2E9C-101B-9397-08002B2CF9AE}" pid="4" name="KSOTemplateDocerSaveRecord">
    <vt:lpwstr>eyJoZGlkIjoiMDEwNjE4OGZkMDRmMWFmNzE3MjVmMDAyZjhmYTlkNmMiLCJ1c2VySWQiOiI0OTY0ODIyNzQifQ==</vt:lpwstr>
  </property>
</Properties>
</file>